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CF530F">
      <w:pPr>
        <w:spacing w:before="480" w:after="480" w:line="288" w:lineRule="auto"/>
        <w:ind w:left="0"/>
        <w:jc w:val="center"/>
        <w:rPr>
          <w:sz w:val="44"/>
          <w:szCs w:val="44"/>
        </w:rPr>
      </w:pPr>
      <w:r>
        <w:rPr>
          <w:rFonts w:ascii="Arial" w:hAnsi="Arial" w:eastAsia="等线" w:cs="Arial"/>
          <w:b/>
          <w:sz w:val="44"/>
          <w:szCs w:val="44"/>
        </w:rPr>
        <w:t>期货行情接口（FMAPI）功能介绍</w:t>
      </w:r>
    </w:p>
    <w:p w14:paraId="315C028B">
      <w:pPr>
        <w:spacing w:before="380" w:after="140" w:line="288" w:lineRule="auto"/>
        <w:ind w:left="0"/>
        <w:jc w:val="left"/>
        <w:outlineLvl w:val="0"/>
      </w:pPr>
      <w:bookmarkStart w:id="0" w:name="heading_0"/>
      <w:r>
        <w:rPr>
          <w:rFonts w:ascii="Arial" w:hAnsi="Arial" w:eastAsia="等线" w:cs="Arial"/>
          <w:b/>
          <w:sz w:val="36"/>
        </w:rPr>
        <w:t>一、接口简介</w:t>
      </w:r>
      <w:bookmarkEnd w:id="0"/>
    </w:p>
    <w:p w14:paraId="4A5F61A7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FMAPI（Future Market Api）是基于中国金融期货交易所CTP行情接口深度封装的专业期货行情服务接口，致力于为期货领域开发者提供高效、稳定、便捷的行情数据处理解决方案。接口整合了行情连接、数据订阅、采集处理、存储查询及实时通知等全流程能力，支持实时Tick数据与多周期K线数据的快速获取，广泛适配期货行情分析、量化策略开发、交易系统搭建等多元化场景，大幅降低开发者的技术门槛，提升开发效率。</w:t>
      </w:r>
    </w:p>
    <w:p w14:paraId="0B83E6FF">
      <w:pPr>
        <w:spacing w:before="380" w:after="140" w:line="288" w:lineRule="auto"/>
        <w:ind w:left="0"/>
        <w:jc w:val="left"/>
        <w:outlineLvl w:val="0"/>
      </w:pPr>
      <w:bookmarkStart w:id="1" w:name="heading_1"/>
      <w:r>
        <w:rPr>
          <w:rFonts w:ascii="Arial" w:hAnsi="Arial" w:eastAsia="等线" w:cs="Arial"/>
          <w:b/>
          <w:sz w:val="36"/>
        </w:rPr>
        <w:t>二、核心优势</w:t>
      </w:r>
      <w:bookmarkEnd w:id="1"/>
      <w:bookmarkStart w:id="11" w:name="_GoBack"/>
      <w:bookmarkEnd w:id="11"/>
    </w:p>
    <w:p w14:paraId="1C046385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22"/>
        </w:rPr>
        <w:t>底层稳定可靠</w:t>
      </w:r>
      <w:r>
        <w:rPr>
          <w:rFonts w:ascii="Arial" w:hAnsi="Arial" w:eastAsia="等线" w:cs="Arial"/>
          <w:sz w:val="22"/>
        </w:rPr>
        <w:t>：基于CTP接口封装，延续其成熟的行情传输机制，自动维护服务器连接状态，保障行情数据传输的稳定性与实时性，有效降低断连风险。</w:t>
      </w:r>
    </w:p>
    <w:p w14:paraId="628CA66B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22"/>
        </w:rPr>
        <w:t>数据处理智能化</w:t>
      </w:r>
      <w:r>
        <w:rPr>
          <w:rFonts w:ascii="Arial" w:hAnsi="Arial" w:eastAsia="等线" w:cs="Arial"/>
          <w:sz w:val="22"/>
        </w:rPr>
        <w:t>：自动完成CTP原始数据到标准化Tick数据的转换，同时支持5秒、1分钟、5分钟周期K线数据的自动生成，无需开发者手动计算，减少重复开发工作。</w:t>
      </w:r>
    </w:p>
    <w:p w14:paraId="6FB949E1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22"/>
        </w:rPr>
        <w:t>兼容性强</w:t>
      </w:r>
      <w:r>
        <w:rPr>
          <w:rFonts w:ascii="Arial" w:hAnsi="Arial" w:eastAsia="等线" w:cs="Arial"/>
          <w:sz w:val="22"/>
        </w:rPr>
        <w:t>：支持通达信格式K线数据转换为标准格式，同时支持不同周期K线数据的互转（如5秒转1分钟），兼容多来源数据，扩大数据应用范围。</w:t>
      </w:r>
    </w:p>
    <w:p w14:paraId="7A892E83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22"/>
        </w:rPr>
        <w:t>存储灵活多样</w:t>
      </w:r>
      <w:r>
        <w:rPr>
          <w:rFonts w:ascii="Arial" w:hAnsi="Arial" w:eastAsia="等线" w:cs="Arial"/>
          <w:sz w:val="22"/>
        </w:rPr>
        <w:t>：支持Tick数据与K线数据以二进制、XML、JSON三种格式本地存储，存储路径可灵活配置，满足不同场景下的数据存储需求。</w:t>
      </w:r>
    </w:p>
    <w:p w14:paraId="098A62D9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22"/>
        </w:rPr>
        <w:t>线程安全保障</w:t>
      </w:r>
      <w:r>
        <w:rPr>
          <w:rFonts w:ascii="Arial" w:hAnsi="Arial" w:eastAsia="等线" w:cs="Arial"/>
          <w:sz w:val="22"/>
        </w:rPr>
        <w:t>：内部集成线程同步机制（如std::mutex），确保多线程环境下文件操作与数据缓存的安全性，开发者无需额外添加锁机制，简化多线程开发流程。</w:t>
      </w:r>
    </w:p>
    <w:p w14:paraId="711FD571">
      <w:pPr>
        <w:spacing w:before="380" w:after="140" w:line="288" w:lineRule="auto"/>
        <w:ind w:left="0"/>
        <w:jc w:val="left"/>
        <w:outlineLvl w:val="0"/>
      </w:pPr>
      <w:bookmarkStart w:id="2" w:name="heading_2"/>
      <w:r>
        <w:rPr>
          <w:rFonts w:ascii="Arial" w:hAnsi="Arial" w:eastAsia="等线" w:cs="Arial"/>
          <w:b/>
          <w:sz w:val="36"/>
        </w:rPr>
        <w:t>三、核心功能模块详解</w:t>
      </w:r>
      <w:bookmarkEnd w:id="2"/>
    </w:p>
    <w:p w14:paraId="0AECE140">
      <w:pPr>
        <w:spacing w:before="320" w:after="120" w:line="288" w:lineRule="auto"/>
        <w:ind w:left="0"/>
        <w:jc w:val="left"/>
        <w:outlineLvl w:val="1"/>
      </w:pPr>
      <w:bookmarkStart w:id="3" w:name="heading_3"/>
      <w:r>
        <w:rPr>
          <w:rFonts w:ascii="Arial" w:hAnsi="Arial" w:eastAsia="等线" w:cs="Arial"/>
          <w:b/>
          <w:sz w:val="32"/>
        </w:rPr>
        <w:t>1. 行情连接与授权模块</w:t>
      </w:r>
      <w:bookmarkEnd w:id="3"/>
    </w:p>
    <w:p w14:paraId="4F0695DD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该模块是接口使用的基础，负责完成接口初始化、服务器连接及权限验证，为后续行情获取提供保障。</w:t>
      </w:r>
    </w:p>
    <w:p w14:paraId="6AD142FD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灵活初始化配置</w:t>
      </w:r>
      <w:r>
        <w:rPr>
          <w:rFonts w:ascii="Arial" w:hAnsi="Arial" w:eastAsia="等线" w:cs="Arial"/>
          <w:sz w:val="22"/>
        </w:rPr>
        <w:t>：支持设置行情前置地址、流文件路径、Tick数据输出路径、运行目录、回调函数、行情输出模式等核心参数，适配不同部署环境的配置需求。</w:t>
      </w:r>
    </w:p>
    <w:p w14:paraId="78C42E78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稳定连接管理</w:t>
      </w:r>
      <w:r>
        <w:rPr>
          <w:rFonts w:ascii="Arial" w:hAnsi="Arial" w:eastAsia="等线" w:cs="Arial"/>
          <w:sz w:val="22"/>
        </w:rPr>
        <w:t>：提供登录、登出行情服务器的标准化接口，自动维护连接状态，若发生意外断连，会通过回调函数实时通知，便于开发者及时处理重连。</w:t>
      </w:r>
    </w:p>
    <w:p w14:paraId="4EC19CD7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权限认证机制</w:t>
      </w:r>
      <w:r>
        <w:rPr>
          <w:rFonts w:ascii="Arial" w:hAnsi="Arial" w:eastAsia="等线" w:cs="Arial"/>
          <w:sz w:val="22"/>
        </w:rPr>
        <w:t>：通过专属授权接口完成权限验证，确保接口使用的合法性，未授权状态下会对数据存储等核心功能进行合理限制。</w:t>
      </w:r>
    </w:p>
    <w:p w14:paraId="61E87821">
      <w:pPr>
        <w:numPr>
          <w:numId w:val="0"/>
        </w:numPr>
        <w:spacing w:before="320" w:after="120" w:line="288" w:lineRule="auto"/>
        <w:ind w:leftChars="0"/>
        <w:jc w:val="left"/>
        <w:outlineLvl w:val="1"/>
      </w:pPr>
      <w:bookmarkStart w:id="4" w:name="heading_4"/>
      <w:r>
        <w:rPr>
          <w:rFonts w:ascii="Arial" w:hAnsi="Arial" w:eastAsia="等线" w:cs="Arial"/>
          <w:b/>
          <w:sz w:val="32"/>
        </w:rPr>
        <w:t>2. 行情订阅模块</w:t>
      </w:r>
      <w:bookmarkEnd w:id="4"/>
    </w:p>
    <w:p w14:paraId="70418F40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sz w:val="22"/>
        </w:rPr>
        <w:t>支持精准化行情订阅与取消操作，确保开发者仅获取目标数据，提升数据处理效率。</w:t>
      </w:r>
    </w:p>
    <w:p w14:paraId="702C9C17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合约行情订阅</w:t>
      </w:r>
      <w:r>
        <w:rPr>
          <w:rFonts w:ascii="Arial" w:hAnsi="Arial" w:eastAsia="等线" w:cs="Arial"/>
          <w:sz w:val="22"/>
        </w:rPr>
        <w:t>：可针对单个或多个期货合约发起实时行情订阅，订阅成功后实时接收目标合约的动态数据；支持随时取消订阅，灵活控制数据接收范围。</w:t>
      </w:r>
    </w:p>
    <w:p w14:paraId="5B034BB6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报价请求订阅</w:t>
      </w:r>
      <w:r>
        <w:rPr>
          <w:rFonts w:ascii="Arial" w:hAnsi="Arial" w:eastAsia="等线" w:cs="Arial"/>
          <w:sz w:val="22"/>
        </w:rPr>
        <w:t>：提供报价请求的订阅与取消功能，满足行情报价信息获取的差异化场景需求，适配不同业务场景的数据诉求。</w:t>
      </w:r>
    </w:p>
    <w:p w14:paraId="2767AC10">
      <w:pPr>
        <w:numPr>
          <w:numId w:val="0"/>
        </w:numPr>
        <w:spacing w:before="320" w:after="120" w:line="288" w:lineRule="auto"/>
        <w:ind w:leftChars="0"/>
        <w:jc w:val="left"/>
        <w:outlineLvl w:val="1"/>
      </w:pPr>
      <w:bookmarkStart w:id="5" w:name="heading_5"/>
      <w:r>
        <w:rPr>
          <w:rFonts w:ascii="Arial" w:hAnsi="Arial" w:eastAsia="等线" w:cs="Arial"/>
          <w:b/>
          <w:sz w:val="32"/>
        </w:rPr>
        <w:t>3. 数据采集与处理模块</w:t>
      </w:r>
      <w:bookmarkEnd w:id="5"/>
    </w:p>
    <w:p w14:paraId="73865C47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sz w:val="22"/>
        </w:rPr>
        <w:t>作为接口的核心数据处理单元，实现原始数据的标准化转换、多周期衍生及格式兼容处理，提升数据可用性。</w:t>
      </w:r>
    </w:p>
    <w:p w14:paraId="481F7726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Tick数据标准化</w:t>
      </w:r>
      <w:r>
        <w:rPr>
          <w:rFonts w:ascii="Arial" w:hAnsi="Arial" w:eastAsia="等线" w:cs="Arial"/>
          <w:sz w:val="22"/>
        </w:rPr>
        <w:t>：实时接收CTP行情原始数据，自动转换为统一格式的标准化Tick数据，包含时间戳（秒+毫秒）、最新价、开盘价、最高价、最低价、成交量、持仓量等关键字段，降低后续处理难度。</w:t>
      </w:r>
    </w:p>
    <w:p w14:paraId="79B3C0E6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多周期K线自动生成</w:t>
      </w:r>
      <w:r>
        <w:rPr>
          <w:rFonts w:ascii="Arial" w:hAnsi="Arial" w:eastAsia="等线" w:cs="Arial"/>
          <w:sz w:val="22"/>
        </w:rPr>
        <w:t>：基于标准化Tick数据，自动衍生生成5秒、1分钟、5分钟三种常用周期的K线数据，涵盖开盘价、最高价、最低价、收盘价、成交量等核心指标，无需开发者手动编写计算逻辑。</w:t>
      </w:r>
    </w:p>
    <w:p w14:paraId="02BCD264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数据格式转换</w:t>
      </w:r>
      <w:r>
        <w:rPr>
          <w:rFonts w:ascii="Arial" w:hAnsi="Arial" w:eastAsia="等线" w:cs="Arial"/>
          <w:sz w:val="22"/>
        </w:rPr>
        <w:t>：支持通达信格式K线数据转换为标准K线数据，同时支持源周期K线数据向目标周期转换（如5秒K线转1分钟K线），打破不同数据来源的格式壁垒。</w:t>
      </w:r>
    </w:p>
    <w:p w14:paraId="01816756">
      <w:pPr>
        <w:spacing w:before="320" w:after="120" w:line="288" w:lineRule="auto"/>
        <w:ind w:left="0"/>
        <w:jc w:val="left"/>
        <w:outlineLvl w:val="1"/>
      </w:pPr>
      <w:bookmarkStart w:id="6" w:name="heading_6"/>
      <w:r>
        <w:rPr>
          <w:rFonts w:ascii="Arial" w:hAnsi="Arial" w:eastAsia="等线" w:cs="Arial"/>
          <w:b/>
          <w:sz w:val="32"/>
        </w:rPr>
        <w:t>4. 数据存储与查询模块</w:t>
      </w:r>
      <w:bookmarkEnd w:id="6"/>
    </w:p>
    <w:p w14:paraId="1A8C6D15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sz w:val="22"/>
        </w:rPr>
        <w:t>实现行情数据的本地持久化存储与高效查询，为策略回测、行情复盘等场景提供数据支撑。</w:t>
      </w:r>
    </w:p>
    <w:p w14:paraId="766BA528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多样化存储</w:t>
      </w:r>
      <w:r>
        <w:rPr>
          <w:rFonts w:ascii="Arial" w:hAnsi="Arial" w:eastAsia="等线" w:cs="Arial"/>
          <w:sz w:val="22"/>
        </w:rPr>
        <w:t>：支持Tick数据与K线数据以二进制、XML、JSON三种格式存储到本地指定路径，其中K线数据通过文件后缀区分周期（sec5代表5秒、min1代表1分钟、min5代表5分钟），便于快速识别。</w:t>
      </w:r>
    </w:p>
    <w:p w14:paraId="30A56D42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历史数据查询</w:t>
      </w:r>
      <w:r>
        <w:rPr>
          <w:rFonts w:ascii="Arial" w:hAnsi="Arial" w:eastAsia="等线" w:cs="Arial"/>
          <w:sz w:val="22"/>
        </w:rPr>
        <w:t>：提供历史Tick数据与历史K线数据查询接口，开发者可通过接口读取本地存储的历史数据文件，获取对应的数据数组（支持按合约、交易日等条件筛选），为策略回测、行情分析提供数据支持。</w:t>
      </w:r>
    </w:p>
    <w:p w14:paraId="1D8FCEE1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数据衍生处理</w:t>
      </w:r>
      <w:r>
        <w:rPr>
          <w:rFonts w:ascii="Arial" w:hAnsi="Arial" w:eastAsia="等线" w:cs="Arial"/>
          <w:sz w:val="22"/>
        </w:rPr>
        <w:t>：支持从本地Tick数据文件中提取数据并转换生成K线数据，同时可配置是否将生成的K线数据写入文件，丰富数据处理的灵活性。</w:t>
      </w:r>
    </w:p>
    <w:p w14:paraId="20B32C2E">
      <w:pPr>
        <w:numPr>
          <w:numId w:val="0"/>
        </w:numPr>
        <w:spacing w:before="320" w:after="120" w:line="288" w:lineRule="auto"/>
        <w:ind w:leftChars="0"/>
        <w:jc w:val="left"/>
        <w:outlineLvl w:val="1"/>
      </w:pPr>
      <w:bookmarkStart w:id="7" w:name="heading_7"/>
      <w:r>
        <w:rPr>
          <w:rFonts w:ascii="Arial" w:hAnsi="Arial" w:eastAsia="等线" w:cs="Arial"/>
          <w:b/>
          <w:sz w:val="32"/>
        </w:rPr>
        <w:t>5. 回调通知模块</w:t>
      </w:r>
      <w:bookmarkEnd w:id="7"/>
    </w:p>
    <w:p w14:paraId="4B7BE429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sz w:val="22"/>
        </w:rPr>
        <w:t>通过回调函数实时推送关键事件与数据更新，确保开发者及时掌握接口运行状态与行情动态。</w:t>
      </w:r>
    </w:p>
    <w:p w14:paraId="225CF40B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运行状态通知</w:t>
      </w:r>
      <w:r>
        <w:rPr>
          <w:rFonts w:ascii="Arial" w:hAnsi="Arial" w:eastAsia="等线" w:cs="Arial"/>
          <w:sz w:val="22"/>
        </w:rPr>
        <w:t>：实时推送连接状态变化、登录结果、订阅结果等关键事件，当发生断连、登录失败、订阅异常等情况时，及时触发错误回调，便于开发者快速定位问题。</w:t>
      </w:r>
    </w:p>
    <w:p w14:paraId="55CC1EBD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数据更新通知</w:t>
      </w:r>
      <w:r>
        <w:rPr>
          <w:rFonts w:ascii="Arial" w:hAnsi="Arial" w:eastAsia="等线" w:cs="Arial"/>
          <w:sz w:val="22"/>
        </w:rPr>
        <w:t>：支持行情数据、Tick数据更新、各周期K线数据更新的实时回调，确保开发者第一时间获取最新数据，保障策略执行的时效性。</w:t>
      </w:r>
    </w:p>
    <w:p w14:paraId="261A570A">
      <w:pPr>
        <w:numPr>
          <w:numId w:val="0"/>
        </w:numPr>
        <w:spacing w:before="380" w:after="140" w:line="288" w:lineRule="auto"/>
        <w:ind w:leftChars="0"/>
        <w:jc w:val="left"/>
        <w:outlineLvl w:val="0"/>
      </w:pPr>
      <w:bookmarkStart w:id="8" w:name="heading_8"/>
      <w:r>
        <w:rPr>
          <w:rFonts w:ascii="Arial" w:hAnsi="Arial" w:eastAsia="等线" w:cs="Arial"/>
          <w:b/>
          <w:sz w:val="36"/>
        </w:rPr>
        <w:t>四、典型应用场景</w:t>
      </w:r>
      <w:bookmarkEnd w:id="8"/>
    </w:p>
    <w:p w14:paraId="6971D681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期货行情分析系统开发</w:t>
      </w:r>
      <w:r>
        <w:rPr>
          <w:rFonts w:ascii="Arial" w:hAnsi="Arial" w:eastAsia="等线" w:cs="Arial"/>
          <w:sz w:val="22"/>
        </w:rPr>
        <w:t>：开发者可通过接口快速获取实时及历史行情数据，结合可视化组件搭建行情分析平台，实现行情走势展示、指标计算、异动监测等功能。</w:t>
      </w:r>
    </w:p>
    <w:p w14:paraId="5AEB288A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量化交易策略开发与回测</w:t>
      </w:r>
      <w:r>
        <w:rPr>
          <w:rFonts w:ascii="Arial" w:hAnsi="Arial" w:eastAsia="等线" w:cs="Arial"/>
          <w:sz w:val="22"/>
        </w:rPr>
        <w:t>：利用接口提供的历史数据查询功能进行策略回测，通过实时行情回调获取动态数据驱动策略执行，同时借助线程安全特性保障多策略并发运行的稳定性。</w:t>
      </w:r>
    </w:p>
    <w:p w14:paraId="16C5C2BB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交易系统行情模块搭建</w:t>
      </w:r>
      <w:r>
        <w:rPr>
          <w:rFonts w:ascii="Arial" w:hAnsi="Arial" w:eastAsia="等线" w:cs="Arial"/>
          <w:sz w:val="22"/>
        </w:rPr>
        <w:t>：将FMAPI集成到交易系统中，作为行情数据获取的核心模块，为交易决策提供实时、准确的行情支撑，降低系统开发复杂度。</w:t>
      </w:r>
    </w:p>
    <w:p w14:paraId="6B3B7D12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行情数据归档与复盘</w:t>
      </w:r>
      <w:r>
        <w:rPr>
          <w:rFonts w:ascii="Arial" w:hAnsi="Arial" w:eastAsia="等线" w:cs="Arial"/>
          <w:sz w:val="22"/>
        </w:rPr>
        <w:t>：通过接口将实时行情数据持久化存储，用于行情复盘、交易审计、合规检查等场景，满足数据留存与追溯需求。</w:t>
      </w:r>
    </w:p>
    <w:p w14:paraId="051D04A5">
      <w:pPr>
        <w:numPr>
          <w:numId w:val="0"/>
        </w:numPr>
        <w:spacing w:before="380" w:after="140" w:line="288" w:lineRule="auto"/>
        <w:ind w:leftChars="0"/>
        <w:jc w:val="left"/>
        <w:outlineLvl w:val="0"/>
      </w:pPr>
      <w:bookmarkStart w:id="9" w:name="heading_9"/>
      <w:r>
        <w:rPr>
          <w:rFonts w:ascii="Arial" w:hAnsi="Arial" w:eastAsia="等线" w:cs="Arial"/>
          <w:b/>
          <w:sz w:val="36"/>
        </w:rPr>
        <w:t>五、快速上手要点</w:t>
      </w:r>
      <w:bookmarkEnd w:id="9"/>
    </w:p>
    <w:p w14:paraId="5817BCBD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环境准备</w:t>
      </w:r>
      <w:r>
        <w:rPr>
          <w:rFonts w:ascii="Arial" w:hAnsi="Arial" w:eastAsia="等线" w:cs="Arial"/>
          <w:sz w:val="22"/>
        </w:rPr>
        <w:t>：确保本地环境已完成接口授权，配置好行情前置服务器地址、存储路径等基础参数，且存储路径具备写入权限。</w:t>
      </w:r>
    </w:p>
    <w:p w14:paraId="7095ADDD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核心流程</w:t>
      </w:r>
      <w:r>
        <w:rPr>
          <w:rFonts w:ascii="Arial" w:hAnsi="Arial" w:eastAsia="等线" w:cs="Arial"/>
          <w:sz w:val="22"/>
        </w:rPr>
        <w:t>：初始化接口配置→完成权限认证→登录行情服务器→订阅目标合约行情→接收回调数据（实时处理或存储）→查询历史数据（用于回测等场景）。</w:t>
      </w:r>
    </w:p>
    <w:p w14:paraId="4DB3899F">
      <w:pPr>
        <w:numPr>
          <w:numId w:val="0"/>
        </w:numPr>
        <w:spacing w:before="120" w:after="120" w:line="288" w:lineRule="auto"/>
        <w:ind w:leftChars="0"/>
        <w:jc w:val="left"/>
      </w:pPr>
      <w:r>
        <w:rPr>
          <w:rFonts w:ascii="Arial" w:hAnsi="Arial" w:eastAsia="等线" w:cs="Arial"/>
          <w:b/>
          <w:sz w:val="22"/>
        </w:rPr>
        <w:t>关键注意</w:t>
      </w:r>
      <w:r>
        <w:rPr>
          <w:rFonts w:ascii="Arial" w:hAnsi="Arial" w:eastAsia="等线" w:cs="Arial"/>
          <w:sz w:val="22"/>
        </w:rPr>
        <w:t>：通过查询接口获取的数据数组为动态分配，使用后需手动释放内存；回调函数中避免执行耗时操作，防止阻塞行情接收线程。</w:t>
      </w:r>
    </w:p>
    <w:p w14:paraId="7692EFCD">
      <w:pPr>
        <w:spacing w:before="380" w:after="140" w:line="288" w:lineRule="auto"/>
        <w:ind w:left="0"/>
        <w:jc w:val="left"/>
        <w:outlineLvl w:val="0"/>
      </w:pPr>
      <w:bookmarkStart w:id="10" w:name="heading_10"/>
      <w:r>
        <w:rPr>
          <w:rFonts w:ascii="Arial" w:hAnsi="Arial" w:eastAsia="等线" w:cs="Arial"/>
          <w:b/>
          <w:sz w:val="36"/>
        </w:rPr>
        <w:t>六、支持与服务</w:t>
      </w:r>
      <w:bookmarkEnd w:id="10"/>
    </w:p>
    <w:p w14:paraId="53DE9404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开发者：永轩软件</w:t>
      </w:r>
    </w:p>
    <w:p w14:paraId="18F079F0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技术支持QQ：77766508</w:t>
      </w:r>
    </w:p>
    <w:p w14:paraId="048BB832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官方网站：www.yx10000.com（可获取接口授权、开发文档、示例代码等资源）</w:t>
      </w: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12497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CC11C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splitPgBreakAndParaMark/>
    <w:compatSetting w:name="compatibilityMode" w:uri="http://schemas.microsoft.com/office/word" w:val="12"/>
  </w:compat>
  <w:rsids>
    <w:rsidRoot w:val="00000000"/>
    <w:rsid w:val="57F342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2278</Words>
  <Characters>2399</Characters>
  <TotalTime>3</TotalTime>
  <ScaleCrop>false</ScaleCrop>
  <LinksUpToDate>false</LinksUpToDate>
  <CharactersWithSpaces>2408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2025-11-15T15:31:00Z</dcterms:created>
  <dc:creator>Apache POI</dc:creator>
  <cp:lastModifiedBy>无怨无悔</cp:lastModifiedBy>
  <dcterms:modified xsi:type="dcterms:W3CDTF">2025-11-15T15:35:30Z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eyJoZGlkIjoiMzMyNzM0MjJhNGFmYzAwNjY2ODEzNjE4YWE3ZDMyZjYiLCJ1c2VySWQiOiI0NzU5OTYwNTQifQ==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4A71C751CA034A9CA583BEFC933FA8C3_12</vt:lpwstr>
  </property>
</Properties>
</file>