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A1857">
      <w:pPr>
        <w:spacing w:before="320" w:after="120" w:line="288" w:lineRule="auto"/>
        <w:ind w:left="0"/>
        <w:jc w:val="center"/>
        <w:outlineLvl w:val="1"/>
        <w:rPr>
          <w:rFonts w:hint="eastAsia" w:ascii="Arial" w:hAnsi="Arial" w:eastAsia="等线" w:cs="Arial"/>
          <w:b/>
          <w:sz w:val="36"/>
          <w:lang w:eastAsia="zh-CN"/>
        </w:rPr>
      </w:pPr>
      <w:bookmarkStart w:id="0" w:name="heading_0"/>
      <w:r>
        <w:rPr>
          <w:rFonts w:ascii="Arial" w:hAnsi="Arial" w:eastAsia="等线" w:cs="Arial"/>
          <w:b/>
          <w:sz w:val="36"/>
        </w:rPr>
        <w:t>期货行情接口FMAPI用户开发文档</w:t>
      </w:r>
      <w:bookmarkEnd w:id="0"/>
      <w:bookmarkStart w:id="1" w:name="heading_1"/>
    </w:p>
    <w:p w14:paraId="06519F88">
      <w:pPr>
        <w:spacing w:before="320" w:after="120" w:line="288" w:lineRule="auto"/>
        <w:ind w:left="0"/>
        <w:jc w:val="left"/>
        <w:outlineLvl w:val="1"/>
      </w:pPr>
      <w:r>
        <w:rPr>
          <w:rFonts w:ascii="Arial" w:hAnsi="Arial" w:eastAsia="等线" w:cs="Arial"/>
          <w:b/>
          <w:sz w:val="32"/>
        </w:rPr>
        <w:t>一、接口概述</w:t>
      </w:r>
      <w:bookmarkEnd w:id="1"/>
    </w:p>
    <w:p w14:paraId="307B448C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FMAPI（Future Market Api）是基于CTP（中国金融期货交易所行情接口）封装的期货行情接口，提供期货行情数据的连接、订阅、采集、存储及查询功能。通过该接口，用户可获取实时Tick数据及5秒、1分钟、5分钟周期的K线数据，并支持数据本地存储（文件形式）与回调通知，适用于期货行情分析、策略开发等场景。</w:t>
      </w:r>
    </w:p>
    <w:p w14:paraId="35F9A2F7">
      <w:pPr>
        <w:spacing w:before="320" w:after="120" w:line="288" w:lineRule="auto"/>
        <w:ind w:left="0"/>
        <w:jc w:val="left"/>
        <w:outlineLvl w:val="1"/>
      </w:pPr>
      <w:bookmarkStart w:id="2" w:name="heading_2"/>
      <w:r>
        <w:rPr>
          <w:rFonts w:ascii="Arial" w:hAnsi="Arial" w:eastAsia="等线" w:cs="Arial"/>
          <w:b/>
          <w:sz w:val="32"/>
        </w:rPr>
        <w:t>二、基本功能</w:t>
      </w:r>
      <w:bookmarkEnd w:id="2"/>
    </w:p>
    <w:p w14:paraId="446E0733">
      <w:pPr>
        <w:numPr>
          <w:numId w:val="0"/>
        </w:numPr>
        <w:spacing w:before="120" w:after="120" w:line="288" w:lineRule="auto"/>
        <w:jc w:val="left"/>
      </w:pPr>
      <w:bookmarkStart w:id="3" w:name="heading_3"/>
      <w:r>
        <w:rPr>
          <w:rFonts w:ascii="Arial" w:hAnsi="Arial" w:eastAsia="等线" w:cs="Arial"/>
          <w:b/>
          <w:sz w:val="30"/>
        </w:rPr>
        <w:t>1. 核心功能模块</w:t>
      </w:r>
      <w:bookmarkEnd w:id="3"/>
    </w:p>
    <w:p w14:paraId="3BA36F15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FMAPI主要通过三类核心组件实现功能，涵盖行情连接、数据处理、存储查询等核心能力，为用户提供从行情获取到数据应用的全流程支持。</w:t>
      </w:r>
      <w:bookmarkStart w:id="4" w:name="heading_4"/>
    </w:p>
    <w:p w14:paraId="6E8CAA0F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30"/>
        </w:rPr>
        <w:t>2. 具体功能说明</w:t>
      </w:r>
      <w:bookmarkEnd w:id="4"/>
      <w:bookmarkStart w:id="5" w:name="heading_5"/>
    </w:p>
    <w:p w14:paraId="34B3ECDE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28"/>
        </w:rPr>
        <w:t>（1）行情连接与登录</w:t>
      </w:r>
      <w:bookmarkEnd w:id="5"/>
    </w:p>
    <w:p w14:paraId="6ADD352E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支持设置行情前置地址、流文件路径、Tick数据输出路径、运行目录等初始化参数，满足不同环境下的配置需求。</w:t>
      </w:r>
    </w:p>
    <w:p w14:paraId="13CA1E93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提供登录、登出行情服务器的操作接口，自动维护与CTP服务器的连接状态，确保行情数据稳定获取。</w:t>
      </w:r>
    </w:p>
    <w:p w14:paraId="1DCE40ED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支持接口授权认证，未授权状态下可能限制数据存储等部分功能的使用。</w:t>
      </w:r>
      <w:bookmarkStart w:id="6" w:name="heading_6"/>
    </w:p>
    <w:p w14:paraId="3D6EFB63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28"/>
        </w:rPr>
        <w:t>（2）行情订阅与取消</w:t>
      </w:r>
      <w:bookmarkEnd w:id="6"/>
    </w:p>
    <w:p w14:paraId="5428BEB8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支持订阅/取消指定期货合约的实时行情，精准获取目标合约的动态数据。</w:t>
      </w:r>
    </w:p>
    <w:p w14:paraId="267E88B2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支持订阅/取消报价请求，满足不同场景下对行情报价信息的获取需求。</w:t>
      </w:r>
      <w:bookmarkStart w:id="7" w:name="heading_7"/>
    </w:p>
    <w:p w14:paraId="3FD7EC4C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28"/>
        </w:rPr>
        <w:t>（3）数据采集与处理</w:t>
      </w:r>
      <w:bookmarkEnd w:id="7"/>
    </w:p>
    <w:p w14:paraId="3F5A8983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实时接收CTP行情数据，并转换为标准化Tick数据，统一数据格式，降低后续处理难度。基于Tick数据自动生成5秒、1分钟、5分钟周期的K线数据，无需用户手动计算，提升开发效率。</w:t>
      </w:r>
    </w:p>
    <w:p w14:paraId="05D889D0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支持通达信格式K线数据转换为标准K线数据，兼容不同来源的K线数据，扩大数据应用范围。</w:t>
      </w:r>
    </w:p>
    <w:p w14:paraId="25AF8671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支持源周期K线数据转换为目标周期K线数据（如5秒K线转1分钟K线），灵活满足不同分析周期的需求。</w:t>
      </w:r>
      <w:bookmarkStart w:id="8" w:name="heading_8"/>
    </w:p>
    <w:p w14:paraId="2A22B857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28"/>
        </w:rPr>
        <w:t>（4）数据存储与查询</w:t>
      </w:r>
      <w:bookmarkEnd w:id="8"/>
    </w:p>
    <w:p w14:paraId="059FA809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支持Tick数据和K线数据本地文件存储，存储格式包括二进制、XML、JSON三种，用户可根据需求选择，且存储路径可灵活配置。</w:t>
      </w:r>
    </w:p>
    <w:p w14:paraId="56BFD9EF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提供历史Tick数据和历史K线数据查询接口，方便用户回溯历史行情，用于策略回测、行情分析等场景。</w:t>
      </w:r>
    </w:p>
    <w:p w14:paraId="22CC7EDF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支持从Tick文件数据转换生成K线数据，并可选择是否将生成的K线数据写入文件，丰富数据处理方式。</w:t>
      </w:r>
      <w:bookmarkStart w:id="9" w:name="heading_9"/>
    </w:p>
    <w:p w14:paraId="07AC3AD3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28"/>
        </w:rPr>
        <w:t>（5）回调通知</w:t>
      </w:r>
      <w:bookmarkEnd w:id="9"/>
    </w:p>
    <w:p w14:paraId="5665DBC7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通过回调函数实时通知连接状态、登录结果、行情更新等关键事件，让用户及时掌握接口运行动态。</w:t>
      </w:r>
    </w:p>
    <w:p w14:paraId="4F84E5B0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支持</w:t>
      </w:r>
      <w:r>
        <w:rPr>
          <w:rFonts w:hint="eastAsia" w:ascii="Arial" w:hAnsi="Arial" w:eastAsia="等线" w:cs="Arial"/>
          <w:sz w:val="22"/>
          <w:lang w:val="en-US" w:eastAsia="zh-CN"/>
        </w:rPr>
        <w:t>行情数据、</w:t>
      </w:r>
      <w:r>
        <w:rPr>
          <w:rFonts w:ascii="Arial" w:hAnsi="Arial" w:eastAsia="等线" w:cs="Arial"/>
          <w:sz w:val="22"/>
        </w:rPr>
        <w:t>Tick数据更新、K线数据更新（5秒、1分钟、5分钟周期）的实时回调，确保用户第一时间获取最新行情数据。</w:t>
      </w:r>
      <w:bookmarkStart w:id="10" w:name="heading_10"/>
    </w:p>
    <w:p w14:paraId="7222CDB9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32"/>
        </w:rPr>
        <w:t>三、行情输出基本流程</w:t>
      </w:r>
      <w:bookmarkEnd w:id="10"/>
      <w:bookmarkStart w:id="11" w:name="heading_11"/>
    </w:p>
    <w:p w14:paraId="6B7D35EA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30"/>
        </w:rPr>
        <w:t>1. 初始化与连接流程</w:t>
      </w:r>
      <w:bookmarkEnd w:id="11"/>
    </w:p>
    <w:p w14:paraId="4A3EFEEB">
      <w:pPr>
        <w:numPr>
          <w:ilvl w:val="0"/>
          <w:numId w:val="1"/>
        </w:numPr>
        <w:spacing w:before="120" w:after="120" w:line="288" w:lineRule="auto"/>
        <w:ind w:left="420" w:leftChars="0" w:hanging="420" w:firstLineChars="0"/>
        <w:jc w:val="left"/>
      </w:pPr>
      <w:r>
        <w:rPr>
          <w:rFonts w:ascii="Arial" w:hAnsi="Arial" w:eastAsia="等线" w:cs="Arial"/>
          <w:sz w:val="22"/>
        </w:rPr>
        <w:t>调用初始化配置接口设置参数，包括流路径、Tick输出路径、回调函数、行情输出模式、运行目录，完成接口基础配置。</w:t>
      </w:r>
    </w:p>
    <w:p w14:paraId="61EA9354">
      <w:pPr>
        <w:numPr>
          <w:ilvl w:val="0"/>
          <w:numId w:val="1"/>
        </w:numPr>
        <w:spacing w:before="120" w:after="120" w:line="288" w:lineRule="auto"/>
        <w:ind w:left="420" w:leftChars="0" w:hanging="420" w:firstLineChars="0"/>
        <w:jc w:val="left"/>
      </w:pPr>
      <w:r>
        <w:rPr>
          <w:rFonts w:hint="eastAsia" w:ascii="Arial" w:hAnsi="Arial" w:eastAsia="等线" w:cs="Arial"/>
          <w:sz w:val="22"/>
          <w:lang w:val="en-US" w:eastAsia="zh-CN"/>
        </w:rPr>
        <w:t>调用接口认证方法，对接口认证进行初始化</w:t>
      </w:r>
      <w:r>
        <w:rPr>
          <w:rFonts w:ascii="Arial" w:hAnsi="Arial" w:eastAsia="等线" w:cs="Arial"/>
          <w:sz w:val="22"/>
        </w:rPr>
        <w:t>。</w:t>
      </w:r>
    </w:p>
    <w:p w14:paraId="3EDF7767">
      <w:pPr>
        <w:numPr>
          <w:ilvl w:val="0"/>
          <w:numId w:val="1"/>
        </w:numPr>
        <w:spacing w:before="120" w:after="120" w:line="288" w:lineRule="auto"/>
        <w:ind w:left="420" w:leftChars="0" w:hanging="420" w:firstLineChars="0"/>
        <w:jc w:val="left"/>
      </w:pPr>
      <w:r>
        <w:rPr>
          <w:rFonts w:hint="eastAsia" w:ascii="Arial" w:hAnsi="Arial" w:eastAsia="等线" w:cs="Arial"/>
          <w:sz w:val="22"/>
          <w:lang w:val="en-US" w:eastAsia="zh-CN"/>
        </w:rPr>
        <w:t>配置行情输出模式，行情前置服务器地址等，</w:t>
      </w:r>
      <w:r>
        <w:rPr>
          <w:rFonts w:ascii="Arial" w:hAnsi="Arial" w:eastAsia="等线" w:cs="Arial"/>
          <w:sz w:val="22"/>
        </w:rPr>
        <w:t>调用登录接口登录服务器，发起连接请求。</w:t>
      </w:r>
    </w:p>
    <w:p w14:paraId="5B60C3F7">
      <w:pPr>
        <w:numPr>
          <w:ilvl w:val="0"/>
          <w:numId w:val="1"/>
        </w:numPr>
        <w:spacing w:before="120" w:after="120" w:line="288" w:lineRule="auto"/>
        <w:ind w:left="420" w:leftChars="0" w:hanging="420" w:firstLineChars="0"/>
        <w:jc w:val="left"/>
      </w:pPr>
      <w:r>
        <w:rPr>
          <w:rFonts w:ascii="Arial" w:hAnsi="Arial" w:eastAsia="等线" w:cs="Arial"/>
          <w:sz w:val="22"/>
        </w:rPr>
        <w:t>登录成功则接口进入就绪状态，并通过回调通知用户；登录失败则触发错误回调，告知用户失败信息。</w:t>
      </w:r>
    </w:p>
    <w:p w14:paraId="34E18F54">
      <w:pPr>
        <w:numPr>
          <w:ilvl w:val="0"/>
          <w:numId w:val="1"/>
        </w:numPr>
        <w:spacing w:before="120" w:after="120" w:line="288" w:lineRule="auto"/>
        <w:ind w:left="420" w:leftChars="0" w:hanging="420" w:firstLineChars="0"/>
        <w:jc w:val="left"/>
      </w:pPr>
      <w:r>
        <w:rPr>
          <w:rFonts w:ascii="Arial" w:hAnsi="Arial" w:eastAsia="等线" w:cs="Arial"/>
          <w:sz w:val="22"/>
        </w:rPr>
        <w:t>可选调用缓存配置接口，配置Tick和K线数据的缓存存储模式，优化数据读写效率。</w:t>
      </w:r>
      <w:bookmarkStart w:id="12" w:name="heading_12"/>
    </w:p>
    <w:p w14:paraId="3CCA06D3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30"/>
        </w:rPr>
        <w:t>2. 行情订阅与数据处理流程</w:t>
      </w:r>
      <w:bookmarkEnd w:id="12"/>
    </w:p>
    <w:p w14:paraId="50795066">
      <w:pPr>
        <w:numPr>
          <w:ilvl w:val="0"/>
          <w:numId w:val="1"/>
        </w:numPr>
        <w:spacing w:before="120" w:after="120" w:line="288" w:lineRule="auto"/>
        <w:ind w:left="420" w:leftChars="0" w:hanging="420" w:firstLineChars="0"/>
        <w:jc w:val="left"/>
      </w:pPr>
      <w:r>
        <w:rPr>
          <w:rFonts w:ascii="Arial" w:hAnsi="Arial" w:eastAsia="等线" w:cs="Arial"/>
          <w:sz w:val="22"/>
        </w:rPr>
        <w:t>接口就绪后，调用行情订阅接口订阅目标期货合约行情。</w:t>
      </w:r>
    </w:p>
    <w:p w14:paraId="559CDF2C">
      <w:pPr>
        <w:numPr>
          <w:ilvl w:val="0"/>
          <w:numId w:val="1"/>
        </w:numPr>
        <w:spacing w:before="120" w:after="120" w:line="288" w:lineRule="auto"/>
        <w:ind w:left="420" w:leftChars="0" w:hanging="420" w:firstLineChars="0"/>
        <w:jc w:val="left"/>
      </w:pPr>
      <w:r>
        <w:rPr>
          <w:rFonts w:ascii="Arial" w:hAnsi="Arial" w:eastAsia="等线" w:cs="Arial"/>
          <w:sz w:val="22"/>
        </w:rPr>
        <w:t>服务器确认订阅后，开始接收实时行情；若订阅失败，则触发错误回调，提示用户订阅异常。</w:t>
      </w:r>
    </w:p>
    <w:p w14:paraId="1AD70711">
      <w:pPr>
        <w:numPr>
          <w:ilvl w:val="0"/>
          <w:numId w:val="1"/>
        </w:numPr>
        <w:spacing w:before="120" w:after="120" w:line="288" w:lineRule="auto"/>
        <w:ind w:left="420" w:leftChars="0" w:hanging="420" w:firstLineChars="0"/>
        <w:jc w:val="left"/>
      </w:pPr>
      <w:r>
        <w:rPr>
          <w:rFonts w:hint="eastAsia" w:ascii="Arial" w:hAnsi="Arial" w:eastAsia="等线" w:cs="Arial"/>
          <w:sz w:val="22"/>
          <w:lang w:val="en-US" w:eastAsia="zh-CN"/>
        </w:rPr>
        <w:t>Tcik</w:t>
      </w:r>
      <w:r>
        <w:rPr>
          <w:rFonts w:ascii="Arial" w:hAnsi="Arial" w:eastAsia="等线" w:cs="Arial"/>
          <w:sz w:val="22"/>
        </w:rPr>
        <w:t>数据处理组件将接收的行情数据</w:t>
      </w:r>
      <w:r>
        <w:rPr>
          <w:rFonts w:hint="eastAsia" w:ascii="Arial" w:hAnsi="Arial" w:eastAsia="等线" w:cs="Arial"/>
          <w:sz w:val="22"/>
          <w:lang w:val="en-US" w:eastAsia="zh-CN"/>
        </w:rPr>
        <w:t>根据配置</w:t>
      </w:r>
      <w:r>
        <w:rPr>
          <w:rFonts w:ascii="Arial" w:hAnsi="Arial" w:eastAsia="等线" w:cs="Arial"/>
          <w:sz w:val="22"/>
        </w:rPr>
        <w:t>转换为标准化Tick数据，触发Tick更新回调，并按配置的存储方式和路径，将Tick数据存储到本地文件。</w:t>
      </w:r>
    </w:p>
    <w:p w14:paraId="058052B5">
      <w:pPr>
        <w:numPr>
          <w:ilvl w:val="0"/>
          <w:numId w:val="1"/>
        </w:numPr>
        <w:spacing w:before="120" w:after="120" w:line="288" w:lineRule="auto"/>
        <w:ind w:left="420" w:leftChars="0" w:hanging="420" w:firstLineChars="0"/>
        <w:jc w:val="left"/>
      </w:pPr>
      <w:r>
        <w:rPr>
          <w:rFonts w:hint="eastAsia" w:ascii="Arial" w:hAnsi="Arial" w:eastAsia="等线" w:cs="Arial"/>
          <w:sz w:val="22"/>
          <w:lang w:val="en-US" w:eastAsia="zh-CN"/>
        </w:rPr>
        <w:t>K线</w:t>
      </w:r>
      <w:r>
        <w:rPr>
          <w:rFonts w:ascii="Arial" w:hAnsi="Arial" w:eastAsia="等线" w:cs="Arial"/>
          <w:sz w:val="22"/>
        </w:rPr>
        <w:t>数据处理组件基于</w:t>
      </w:r>
      <w:r>
        <w:rPr>
          <w:rFonts w:hint="eastAsia" w:ascii="Arial" w:hAnsi="Arial" w:eastAsia="等线" w:cs="Arial"/>
          <w:sz w:val="22"/>
          <w:lang w:val="en-US" w:eastAsia="zh-CN"/>
        </w:rPr>
        <w:t>行情</w:t>
      </w:r>
      <w:r>
        <w:rPr>
          <w:rFonts w:ascii="Arial" w:hAnsi="Arial" w:eastAsia="等线" w:cs="Arial"/>
          <w:sz w:val="22"/>
        </w:rPr>
        <w:t>数据，自动生成对应周期（5秒、1分钟、5分钟）的K线数据，触发对应周期K线更新回调，同时按配置将K线数据存储到本地文件。</w:t>
      </w:r>
      <w:bookmarkStart w:id="13" w:name="heading_13"/>
    </w:p>
    <w:p w14:paraId="4E96174E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30"/>
        </w:rPr>
        <w:t>3. 数据查询流程</w:t>
      </w:r>
      <w:bookmarkEnd w:id="13"/>
    </w:p>
    <w:p w14:paraId="00F23877">
      <w:pPr>
        <w:numPr>
          <w:ilvl w:val="0"/>
          <w:numId w:val="1"/>
        </w:numPr>
        <w:spacing w:before="120" w:after="120" w:line="288" w:lineRule="auto"/>
        <w:ind w:left="420" w:leftChars="0" w:hanging="420" w:firstLineChars="0"/>
        <w:jc w:val="left"/>
      </w:pPr>
      <w:r>
        <w:rPr>
          <w:rFonts w:ascii="Arial" w:hAnsi="Arial" w:eastAsia="等线" w:cs="Arial"/>
          <w:sz w:val="22"/>
        </w:rPr>
        <w:t>用户调用历史Tick数据查询接口，</w:t>
      </w:r>
      <w:r>
        <w:rPr>
          <w:rFonts w:hint="eastAsia" w:ascii="Arial" w:hAnsi="Arial" w:eastAsia="等线" w:cs="Arial"/>
          <w:sz w:val="22"/>
          <w:lang w:val="en-US" w:eastAsia="zh-CN"/>
        </w:rPr>
        <w:t>Tick</w:t>
      </w:r>
      <w:r>
        <w:rPr>
          <w:rFonts w:ascii="Arial" w:hAnsi="Arial" w:eastAsia="等线" w:cs="Arial"/>
          <w:sz w:val="22"/>
        </w:rPr>
        <w:t>数据处理组件读取本地存储的Tick数据文件，返回Tick数据数组（该数组为动态分配，使用后需用户手动释放内存，避免内存泄漏）。</w:t>
      </w:r>
    </w:p>
    <w:p w14:paraId="3F31EC88">
      <w:pPr>
        <w:numPr>
          <w:ilvl w:val="0"/>
          <w:numId w:val="1"/>
        </w:numPr>
        <w:spacing w:before="120" w:after="120" w:line="288" w:lineRule="auto"/>
        <w:ind w:left="420" w:leftChars="0" w:hanging="420" w:firstLineChars="0"/>
        <w:jc w:val="left"/>
      </w:pPr>
      <w:r>
        <w:rPr>
          <w:rFonts w:ascii="Arial" w:hAnsi="Arial" w:eastAsia="等线" w:cs="Arial"/>
          <w:sz w:val="22"/>
        </w:rPr>
        <w:t>用户调用历史K线数据查询接口，</w:t>
      </w:r>
      <w:r>
        <w:rPr>
          <w:rFonts w:hint="eastAsia" w:ascii="Arial" w:hAnsi="Arial" w:eastAsia="等线" w:cs="Arial"/>
          <w:sz w:val="22"/>
          <w:lang w:val="en-US" w:eastAsia="zh-CN"/>
        </w:rPr>
        <w:t>K线</w:t>
      </w:r>
      <w:r>
        <w:rPr>
          <w:rFonts w:ascii="Arial" w:hAnsi="Arial" w:eastAsia="等线" w:cs="Arial"/>
          <w:sz w:val="22"/>
        </w:rPr>
        <w:t>数据处理组件读取本地存储的K线数据文件，返回K线数据数组（同样需用户在使用后手动释放内存）。</w:t>
      </w:r>
    </w:p>
    <w:p w14:paraId="22847A43">
      <w:pPr>
        <w:numPr>
          <w:ilvl w:val="0"/>
          <w:numId w:val="1"/>
        </w:numPr>
        <w:spacing w:before="120" w:after="120" w:line="288" w:lineRule="auto"/>
        <w:ind w:left="420" w:leftChars="0" w:hanging="420" w:firstLineChars="0"/>
        <w:jc w:val="left"/>
      </w:pPr>
      <w:r>
        <w:rPr>
          <w:rFonts w:ascii="Arial" w:hAnsi="Arial" w:eastAsia="等线" w:cs="Arial"/>
          <w:sz w:val="22"/>
        </w:rPr>
        <w:t>可选调用Tick转K线数据接口，从本地Tick文件中读取数据并转换生成K线数据，满足特殊场景下的K线数据获取需求。</w:t>
      </w:r>
      <w:bookmarkStart w:id="14" w:name="heading_14"/>
    </w:p>
    <w:p w14:paraId="7876DF65">
      <w:pPr>
        <w:numPr>
          <w:ilvl w:val="0"/>
          <w:numId w:val="1"/>
        </w:numPr>
        <w:spacing w:before="120" w:after="120" w:line="288" w:lineRule="auto"/>
        <w:ind w:left="420" w:leftChars="0" w:hanging="420" w:firstLineChars="0"/>
        <w:jc w:val="left"/>
      </w:pPr>
      <w:r>
        <w:rPr>
          <w:rFonts w:hint="eastAsia" w:ascii="Arial" w:hAnsi="Arial" w:eastAsia="等线" w:cs="Arial"/>
          <w:sz w:val="22"/>
          <w:lang w:val="en-US" w:eastAsia="zh-CN"/>
        </w:rPr>
        <w:t>支持对本地通达信K线数据的提取和转换，并根据配置是否写入到系统K线文件。</w:t>
      </w:r>
    </w:p>
    <w:p w14:paraId="5E835A0F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32"/>
        </w:rPr>
        <w:t>四、接口调用注意事项</w:t>
      </w:r>
      <w:bookmarkEnd w:id="14"/>
      <w:bookmarkStart w:id="15" w:name="heading_15"/>
    </w:p>
    <w:p w14:paraId="1C5CC41F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30"/>
        </w:rPr>
        <w:t>1. 初始化与权限</w:t>
      </w:r>
      <w:bookmarkEnd w:id="15"/>
    </w:p>
    <w:p w14:paraId="26055B0F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接口初始化时，必须通过初始化配置接口设置流路径、输出路径、回调函数等必要参数，缺少关键参数可能导致初始化失败，影响接口正常使用。</w:t>
      </w:r>
    </w:p>
    <w:p w14:paraId="2DFAD6F5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接口需通过专属授权接口完成权限验证，若授权编码错误或未授权，可能会限制数据存储等核心功能的使用，需确保授权信息正确且有效。</w:t>
      </w:r>
    </w:p>
    <w:p w14:paraId="772B973D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确保Tick数据输出路径、运行目录等配置路径已存在且具备写入权限，若路径不存在或权限不足，会导致数据无法正常存储，影响数据回溯与查询。</w:t>
      </w:r>
      <w:bookmarkStart w:id="16" w:name="heading_16"/>
    </w:p>
    <w:p w14:paraId="66709A9B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30"/>
        </w:rPr>
        <w:t>2. 内存管理</w:t>
      </w:r>
      <w:bookmarkEnd w:id="16"/>
    </w:p>
    <w:p w14:paraId="3D4D0653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通过历史Tick数据查询接口和历史K线数据查询接口获取的数据为动态分配的数组，用户在使用完毕后，必须通过</w:t>
      </w:r>
      <w:r>
        <w:rPr>
          <w:rFonts w:ascii="Consolas" w:hAnsi="Consolas" w:eastAsia="Consolas" w:cs="Consolas"/>
          <w:sz w:val="22"/>
          <w:shd w:val="clear" w:fill="EFF0F1"/>
        </w:rPr>
        <w:t>delete[]</w:t>
      </w:r>
      <w:r>
        <w:rPr>
          <w:rFonts w:ascii="Arial" w:hAnsi="Arial" w:eastAsia="等线" w:cs="Arial"/>
          <w:sz w:val="22"/>
        </w:rPr>
        <w:t>手动释放内存，防止内存泄漏，保障程序稳定运行。</w:t>
      </w:r>
    </w:p>
    <w:p w14:paraId="147C1B33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回调函数中传递的临时数据指针（如指向Tick数据、K线数据的指针）无需用户手动释放，由接口内部自动管理，避免误操作导致程序异常。</w:t>
      </w:r>
    </w:p>
    <w:p w14:paraId="4D98534A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通过K线转换接口返回的K线数据数组，同样需要用户在外部手动释放，确保内存资源合理回收。</w:t>
      </w:r>
      <w:bookmarkStart w:id="17" w:name="heading_17"/>
    </w:p>
    <w:p w14:paraId="50796495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30"/>
        </w:rPr>
        <w:t>3. 线程安全</w:t>
      </w:r>
      <w:bookmarkEnd w:id="17"/>
    </w:p>
    <w:p w14:paraId="22C29D0A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接口内部通过线程同步机制（如</w:t>
      </w:r>
      <w:r>
        <w:rPr>
          <w:rFonts w:ascii="Consolas" w:hAnsi="Consolas" w:eastAsia="Consolas" w:cs="Consolas"/>
          <w:sz w:val="22"/>
          <w:shd w:val="clear" w:fill="EFF0F1"/>
        </w:rPr>
        <w:t>std::mutex</w:t>
      </w:r>
      <w:r>
        <w:rPr>
          <w:rFonts w:ascii="Arial" w:hAnsi="Arial" w:eastAsia="等线" w:cs="Arial"/>
          <w:sz w:val="22"/>
        </w:rPr>
        <w:t>）保证文件操作和数据缓存的线程安全，用户在多线程环境下调用接口时，无需额外添加锁机制，简化多线程开发流程。</w:t>
      </w:r>
    </w:p>
    <w:p w14:paraId="329B978E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回调函数可能在接口内部线程中执行，因此避免在回调函数中进行大量IO操作、复杂计算等耗时任务，防止阻塞行情数据接收线程，确保行情数据实时性。</w:t>
      </w:r>
      <w:bookmarkStart w:id="18" w:name="heading_18"/>
    </w:p>
    <w:p w14:paraId="36373390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30"/>
        </w:rPr>
        <w:t>4. 连接与重连</w:t>
      </w:r>
      <w:bookmarkEnd w:id="18"/>
    </w:p>
    <w:p w14:paraId="3D493867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若行情连接意外断开（会触发断开回调通知），用户需及时调用重登录接口重新登录服务器，恢复行情数据接收，避免长时间断连导致关键行情数据丢失。</w:t>
      </w:r>
    </w:p>
    <w:p w14:paraId="365A2D49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登录服务器前，需确保网络连接通畅，且配置的行情前置地址（如CTP行情服务器地址）正确无误，地址错误或网络异常会导致登录失败，无法获取行情数据。</w:t>
      </w:r>
      <w:bookmarkStart w:id="19" w:name="heading_19"/>
    </w:p>
    <w:p w14:paraId="2E2B8A80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30"/>
        </w:rPr>
        <w:t>5. 数据格式与存储</w:t>
      </w:r>
      <w:bookmarkEnd w:id="19"/>
    </w:p>
    <w:p w14:paraId="75605F25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Tick数据文件存储路径格式为</w:t>
      </w:r>
      <w:r>
        <w:rPr>
          <w:rFonts w:ascii="Consolas" w:hAnsi="Consolas" w:eastAsia="Consolas" w:cs="Consolas"/>
          <w:sz w:val="22"/>
          <w:shd w:val="clear" w:fill="EFF0F1"/>
        </w:rPr>
        <w:t>[配置的Tick输出路径]/Tick/[合约ID]_[交易日].tick</w:t>
      </w:r>
      <w:r>
        <w:rPr>
          <w:rFonts w:ascii="Arial" w:hAnsi="Arial" w:eastAsia="等线" w:cs="Arial"/>
          <w:sz w:val="22"/>
        </w:rPr>
        <w:t>，数据记录按标准化Tick数据格式存储（</w:t>
      </w:r>
      <w:r>
        <w:rPr>
          <w:rFonts w:hint="eastAsia" w:ascii="Arial" w:hAnsi="Arial" w:eastAsia="等线" w:cs="Arial"/>
          <w:sz w:val="22"/>
          <w:lang w:val="en-US" w:eastAsia="zh-CN"/>
        </w:rPr>
        <w:t>1</w:t>
      </w:r>
      <w:r>
        <w:rPr>
          <w:rFonts w:ascii="Arial" w:hAnsi="Arial" w:eastAsia="等线" w:cs="Arial"/>
          <w:sz w:val="22"/>
        </w:rPr>
        <w:t>字节对齐），确保数据读取时格式统一。</w:t>
      </w:r>
    </w:p>
    <w:p w14:paraId="36C2F28B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K线数据文件存储时，通过文件后缀区分不同周期（如</w:t>
      </w:r>
      <w:r>
        <w:rPr>
          <w:rFonts w:ascii="Consolas" w:hAnsi="Consolas" w:eastAsia="Consolas" w:cs="Consolas"/>
          <w:sz w:val="22"/>
          <w:shd w:val="clear" w:fill="EFF0F1"/>
        </w:rPr>
        <w:t>sec5</w:t>
      </w:r>
      <w:r>
        <w:rPr>
          <w:rFonts w:ascii="Arial" w:hAnsi="Arial" w:eastAsia="等线" w:cs="Arial"/>
          <w:sz w:val="22"/>
        </w:rPr>
        <w:t>代表5秒周期、</w:t>
      </w:r>
      <w:r>
        <w:rPr>
          <w:rFonts w:ascii="Consolas" w:hAnsi="Consolas" w:eastAsia="Consolas" w:cs="Consolas"/>
          <w:sz w:val="22"/>
          <w:shd w:val="clear" w:fill="EFF0F1"/>
        </w:rPr>
        <w:t>min1</w:t>
      </w:r>
      <w:r>
        <w:rPr>
          <w:rFonts w:ascii="Arial" w:hAnsi="Arial" w:eastAsia="等线" w:cs="Arial"/>
          <w:sz w:val="22"/>
        </w:rPr>
        <w:t>代表1分钟周期、</w:t>
      </w:r>
      <w:r>
        <w:rPr>
          <w:rFonts w:ascii="Consolas" w:hAnsi="Consolas" w:eastAsia="Consolas" w:cs="Consolas"/>
          <w:sz w:val="22"/>
          <w:shd w:val="clear" w:fill="EFF0F1"/>
        </w:rPr>
        <w:t>min5</w:t>
      </w:r>
      <w:r>
        <w:rPr>
          <w:rFonts w:ascii="Arial" w:hAnsi="Arial" w:eastAsia="等线" w:cs="Arial"/>
          <w:sz w:val="22"/>
        </w:rPr>
        <w:t>代表5分钟周期），数据记录按标准K线数据格式存储（1字节对齐），方便用户识别和读取对应周期数据。</w:t>
      </w:r>
    </w:p>
    <w:p w14:paraId="570FA5BB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若需要将通达信K线数据转换后存储，转换后的K线数据会按配置的存储模式（二进制、XML、JSON）写入文件，保持与其他K线数据存储模式一致，便于统一管理。</w:t>
      </w:r>
      <w:bookmarkStart w:id="20" w:name="heading_20"/>
    </w:p>
    <w:p w14:paraId="7613DB57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b/>
          <w:sz w:val="30"/>
        </w:rPr>
        <w:t>6. 回调函数实现</w:t>
      </w:r>
      <w:bookmarkEnd w:id="20"/>
    </w:p>
    <w:p w14:paraId="37716FB3">
      <w:pPr>
        <w:numPr>
          <w:numId w:val="0"/>
        </w:numPr>
        <w:spacing w:before="120" w:after="120" w:line="288" w:lineRule="auto"/>
        <w:jc w:val="left"/>
      </w:pPr>
      <w:r>
        <w:rPr>
          <w:rFonts w:ascii="Arial" w:hAnsi="Arial" w:eastAsia="等线" w:cs="Arial"/>
          <w:sz w:val="22"/>
        </w:rPr>
        <w:t>回调函数需能够处理多种不同类型的消息（如连接状态消息、行情更新消息等），通过消息标识参数区分不同消息类型，针对性进行处理。</w:t>
      </w:r>
    </w:p>
    <w:p w14:paraId="227A8966">
      <w:pPr>
        <w:spacing w:before="120" w:after="120" w:line="288" w:lineRule="auto"/>
        <w:ind w:left="0"/>
        <w:jc w:val="left"/>
        <w:rPr>
          <w:rFonts w:hint="eastAsia" w:ascii="Arial" w:hAnsi="Arial" w:eastAsia="等线" w:cs="Arial"/>
          <w:sz w:val="22"/>
          <w:lang w:eastAsia="zh-CN"/>
        </w:rPr>
      </w:pPr>
      <w:r>
        <w:rPr>
          <w:rFonts w:ascii="Arial" w:hAnsi="Arial" w:eastAsia="等线" w:cs="Arial"/>
          <w:sz w:val="22"/>
        </w:rPr>
        <w:t>回调函数中需判断批量消息标识参数（如</w:t>
      </w:r>
      <w:r>
        <w:rPr>
          <w:rFonts w:ascii="Consolas" w:hAnsi="Consolas" w:eastAsia="Consolas" w:cs="Consolas"/>
          <w:sz w:val="22"/>
          <w:shd w:val="clear" w:fill="EFF0F1"/>
        </w:rPr>
        <w:t>bIsLast</w:t>
      </w:r>
      <w:r>
        <w:rPr>
          <w:rFonts w:ascii="Arial" w:hAnsi="Arial" w:eastAsia="等线" w:cs="Arial"/>
          <w:sz w:val="22"/>
        </w:rPr>
        <w:t>），确认是否为批量消息的最后一条数据，避免重复处理或遗漏处理数据，确保数据处理准确性。</w:t>
      </w:r>
      <w:bookmarkStart w:id="21" w:name="heading_21"/>
    </w:p>
    <w:p w14:paraId="3FD1F3F7">
      <w:pPr>
        <w:spacing w:before="120" w:after="120" w:line="288" w:lineRule="auto"/>
        <w:ind w:left="0"/>
        <w:jc w:val="left"/>
        <w:rPr>
          <w:rFonts w:hint="eastAsia" w:ascii="Arial" w:hAnsi="Arial" w:eastAsia="等线" w:cs="Arial"/>
          <w:b/>
          <w:sz w:val="32"/>
          <w:lang w:eastAsia="zh-CN"/>
        </w:rPr>
      </w:pPr>
      <w:r>
        <w:rPr>
          <w:rFonts w:ascii="Arial" w:hAnsi="Arial" w:eastAsia="等线" w:cs="Arial"/>
          <w:b/>
          <w:sz w:val="32"/>
        </w:rPr>
        <w:t>五、核心数据结构说明</w:t>
      </w:r>
      <w:bookmarkEnd w:id="21"/>
    </w:p>
    <w:p w14:paraId="6B7EEAFA">
      <w:pPr>
        <w:spacing w:before="120" w:after="120" w:line="288" w:lineRule="auto"/>
        <w:ind w:left="0"/>
        <w:jc w:val="left"/>
        <w:rPr>
          <w:rFonts w:hint="eastAsia" w:ascii="Arial" w:hAnsi="Arial" w:eastAsia="等线" w:cs="Arial"/>
          <w:b/>
          <w:sz w:val="32"/>
          <w:lang w:eastAsia="zh-CN"/>
        </w:rPr>
      </w:pPr>
    </w:p>
    <w:tbl>
      <w:tblPr>
        <w:tblStyle w:val="2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760"/>
        <w:gridCol w:w="2760"/>
        <w:gridCol w:w="2760"/>
      </w:tblGrid>
      <w:tr w14:paraId="0356991D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4534DC3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数据结构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504ED40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用途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743D6C8A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关键字段</w:t>
            </w:r>
          </w:p>
        </w:tc>
      </w:tr>
      <w:tr w14:paraId="46A23A53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0C6796F1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TickData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8182F05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标准化Tick数据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63A2E823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时间戳（秒+毫秒）、最新价、开盘价、最高价、最低价、成交量、持仓量、买卖一档价格/成交量等</w:t>
            </w:r>
          </w:p>
        </w:tc>
      </w:tr>
      <w:tr w14:paraId="672CFD96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58FE1EB6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KlineData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4D537AA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标准K线数据（多周期）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12B27411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时间戳、开盘价、最高价、最低价、收盘价、成交量、成交额、持仓变化、成交次数</w:t>
            </w:r>
          </w:p>
        </w:tc>
      </w:tr>
      <w:tr w14:paraId="31792842"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4A37AFA1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KlineDataTDX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309C8F3F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通达信K线数据</w:t>
            </w:r>
          </w:p>
        </w:tc>
        <w:tc>
          <w:tcPr>
            <w:tcW w:w="27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 w14:paraId="293BBEA5">
            <w:pPr>
              <w:spacing w:before="120" w:after="120" w:line="288" w:lineRule="auto"/>
              <w:ind w:left="0"/>
              <w:jc w:val="left"/>
            </w:pPr>
            <w:r>
              <w:rPr>
                <w:rFonts w:ascii="Arial" w:hAnsi="Arial" w:eastAsia="等线" w:cs="Arial"/>
                <w:sz w:val="22"/>
              </w:rPr>
              <w:t>日期时间、开盘价、最高价、最低价、收盘价、成交额、成交量</w:t>
            </w:r>
          </w:p>
        </w:tc>
      </w:tr>
    </w:tbl>
    <w:p w14:paraId="4CD5CBEA">
      <w:pPr>
        <w:spacing w:before="320" w:after="120" w:line="288" w:lineRule="auto"/>
        <w:ind w:left="0"/>
        <w:jc w:val="left"/>
        <w:outlineLvl w:val="1"/>
      </w:pPr>
      <w:bookmarkStart w:id="22" w:name="heading_22"/>
      <w:r>
        <w:rPr>
          <w:rFonts w:ascii="Arial" w:hAnsi="Arial" w:eastAsia="等线" w:cs="Arial"/>
          <w:b/>
          <w:sz w:val="32"/>
        </w:rPr>
        <w:t>六、开发者信息</w:t>
      </w:r>
      <w:bookmarkEnd w:id="22"/>
    </w:p>
    <w:p w14:paraId="669B427E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开发者：永轩软件</w:t>
      </w:r>
      <w:bookmarkStart w:id="23" w:name="_GoBack"/>
      <w:bookmarkEnd w:id="23"/>
    </w:p>
    <w:p w14:paraId="045814EE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技术支持QQ：77766508</w:t>
      </w:r>
    </w:p>
    <w:p w14:paraId="024CB634">
      <w:pPr>
        <w:spacing w:before="120" w:after="120" w:line="288" w:lineRule="auto"/>
        <w:ind w:left="0"/>
        <w:jc w:val="left"/>
      </w:pPr>
      <w:r>
        <w:rPr>
          <w:rFonts w:ascii="Arial" w:hAnsi="Arial" w:eastAsia="等线" w:cs="Arial"/>
          <w:sz w:val="22"/>
        </w:rPr>
        <w:t>官方网站：www.yx10000.com</w:t>
      </w:r>
    </w:p>
    <w:p w14:paraId="6A175B91">
      <w:pPr>
        <w:spacing w:before="120" w:after="120" w:line="288" w:lineRule="auto"/>
        <w:ind w:left="0"/>
        <w:jc w:val="left"/>
      </w:pPr>
    </w:p>
    <w:sectPr>
      <w:headerReference r:id="rId3" w:type="default"/>
      <w:footerReference r:id="rId4" w:type="default"/>
      <w:pgSz w:w="11905" w:h="1684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578F72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73AC7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66C8BC"/>
    <w:multiLevelType w:val="singleLevel"/>
    <w:tmpl w:val="E766C8BC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E765C2"/>
    <w:rsid w:val="79E70C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2772</Words>
  <Characters>2993</Characters>
  <TotalTime>0</TotalTime>
  <ScaleCrop>false</ScaleCrop>
  <LinksUpToDate>false</LinksUpToDate>
  <CharactersWithSpaces>3010</CharactersWithSpaces>
  <Application>WPS Office_12.1.0.23125_F1E327BC-269C-435d-A152-05C5408002CA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2025-11-02T07:44:00Z</dcterms:created>
  <dc:creator>Apache POI</dc:creator>
  <cp:lastModifiedBy>无怨无悔</cp:lastModifiedBy>
  <dcterms:modified xsi:type="dcterms:W3CDTF">2025-11-02T08:12:14Z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eyJoZGlkIjoiMzMyNzM0MjJhNGFmYzAwNjY2ODEzNjE4YWE3ZDMyZjYiLCJ1c2VySWQiOiI0NzU5OTYwNTQifQ==</vt:lpwstr>
  </property>
  <property fmtid="{D5CDD505-2E9C-101B-9397-08002B2CF9AE}" pid="3" name="KSOProductBuildVer">
    <vt:lpwstr>2052-12.1.0.23125</vt:lpwstr>
  </property>
  <property fmtid="{D5CDD505-2E9C-101B-9397-08002B2CF9AE}" pid="4" name="ICV">
    <vt:lpwstr>AF52B018484C4BFDA9CEE64E9EB61CF7_13</vt:lpwstr>
  </property>
</Properties>
</file>